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spacing w:beforeAutospacing="0" w:before="0" w:afterAutospacing="0" w:after="0"/>
        <w:jc w:val="center"/>
        <w:rPr>
          <w:sz w:val="28"/>
          <w:szCs w:val="28"/>
        </w:rPr>
      </w:pPr>
      <w:r>
        <w:rPr>
          <w:sz w:val="28"/>
          <w:szCs w:val="28"/>
        </w:rPr>
        <w:t xml:space="preserve">Доклад </w:t>
      </w:r>
    </w:p>
    <w:p>
      <w:pPr>
        <w:pStyle w:val="Normal"/>
        <w:widowControl w:val="false"/>
        <w:shd w:val="clear" w:color="auto" w:fill="FFFFFF"/>
        <w:tabs>
          <w:tab w:val="left" w:pos="1128" w:leader="none"/>
        </w:tabs>
        <w:ind w:firstLine="567"/>
        <w:jc w:val="center"/>
        <w:rPr/>
      </w:pPr>
      <w:r>
        <w:rPr>
          <w:b/>
          <w:sz w:val="28"/>
          <w:szCs w:val="28"/>
        </w:rPr>
        <w:t>об осуществлении муниципального земельного контроля</w:t>
      </w:r>
      <w:r>
        <w:rPr>
          <w:sz w:val="28"/>
          <w:szCs w:val="28"/>
        </w:rPr>
        <w:t xml:space="preserve"> </w:t>
      </w:r>
      <w:r>
        <w:rPr>
          <w:b/>
          <w:sz w:val="28"/>
          <w:szCs w:val="28"/>
        </w:rPr>
        <w:t>за 2018 год на территории  Курганинского городского поселения Курганинского района</w:t>
      </w:r>
    </w:p>
    <w:p>
      <w:pPr>
        <w:pStyle w:val="3"/>
        <w:spacing w:beforeAutospacing="0" w:before="0" w:afterAutospacing="0" w:after="0"/>
        <w:jc w:val="center"/>
        <w:rPr>
          <w:sz w:val="28"/>
          <w:szCs w:val="28"/>
        </w:rPr>
      </w:pPr>
      <w:r>
        <w:rPr>
          <w:sz w:val="28"/>
          <w:szCs w:val="28"/>
        </w:rPr>
      </w:r>
    </w:p>
    <w:p>
      <w:pPr>
        <w:pStyle w:val="3"/>
        <w:spacing w:beforeAutospacing="0" w:before="0" w:afterAutospacing="0" w:after="0"/>
        <w:jc w:val="center"/>
        <w:rPr/>
      </w:pPr>
      <w:r>
        <w:rPr>
          <w:sz w:val="28"/>
          <w:szCs w:val="28"/>
        </w:rPr>
        <w:t xml:space="preserve">1. Состояние нормативно-правового регулирования в области муниципального земельного контроля  </w:t>
      </w:r>
    </w:p>
    <w:p>
      <w:pPr>
        <w:pStyle w:val="3"/>
        <w:spacing w:beforeAutospacing="0" w:before="0" w:afterAutospacing="0" w:after="0"/>
        <w:jc w:val="center"/>
        <w:rPr>
          <w:b w:val="false"/>
          <w:b w:val="false"/>
          <w:bCs w:val="false"/>
          <w:sz w:val="28"/>
          <w:szCs w:val="28"/>
        </w:rPr>
      </w:pPr>
      <w:r>
        <w:rPr>
          <w:b w:val="false"/>
          <w:bCs w:val="false"/>
          <w:sz w:val="28"/>
          <w:szCs w:val="28"/>
        </w:rPr>
      </w:r>
    </w:p>
    <w:p>
      <w:pPr>
        <w:pStyle w:val="NormalWeb"/>
        <w:spacing w:beforeAutospacing="0" w:before="0" w:afterAutospacing="0" w:after="0"/>
        <w:ind w:left="709" w:right="0" w:hanging="709"/>
        <w:jc w:val="both"/>
        <w:rPr>
          <w:sz w:val="28"/>
          <w:szCs w:val="28"/>
        </w:rPr>
      </w:pPr>
      <w:r>
        <w:rPr>
          <w:sz w:val="28"/>
          <w:szCs w:val="28"/>
        </w:rPr>
        <w:t xml:space="preserve">Исполнение муниципальных функций осуществляется в соответствии с: </w:t>
        <w:br/>
        <w:t>1.Конституцией Российской Федерации;</w:t>
      </w:r>
    </w:p>
    <w:p>
      <w:pPr>
        <w:pStyle w:val="NormalWeb"/>
        <w:spacing w:beforeAutospacing="0" w:before="0" w:afterAutospacing="0" w:after="0"/>
        <w:ind w:right="0" w:firstLine="708"/>
        <w:jc w:val="both"/>
        <w:rPr>
          <w:sz w:val="28"/>
          <w:szCs w:val="28"/>
        </w:rPr>
      </w:pPr>
      <w:r>
        <w:rPr>
          <w:sz w:val="28"/>
          <w:szCs w:val="28"/>
        </w:rPr>
        <w:t xml:space="preserve">2.Земельным кодексом Российской Федерации;    </w:t>
      </w:r>
    </w:p>
    <w:p>
      <w:pPr>
        <w:pStyle w:val="NormalWeb"/>
        <w:spacing w:beforeAutospacing="0" w:before="0" w:afterAutospacing="0" w:after="0"/>
        <w:ind w:right="0" w:firstLine="708"/>
        <w:jc w:val="both"/>
        <w:rPr>
          <w:sz w:val="28"/>
          <w:szCs w:val="28"/>
        </w:rPr>
      </w:pPr>
      <w:r>
        <w:rPr>
          <w:sz w:val="28"/>
          <w:szCs w:val="28"/>
        </w:rPr>
        <w:t xml:space="preserve">3.Кодексом Российской Федерации об административно-правовых нарушениях; </w:t>
      </w:r>
    </w:p>
    <w:p>
      <w:pPr>
        <w:pStyle w:val="NormalWeb"/>
        <w:spacing w:beforeAutospacing="0" w:before="0" w:afterAutospacing="0" w:after="0"/>
        <w:ind w:right="0" w:firstLine="708"/>
        <w:rPr>
          <w:sz w:val="28"/>
          <w:szCs w:val="28"/>
        </w:rPr>
      </w:pPr>
      <w:r>
        <w:rPr>
          <w:sz w:val="28"/>
          <w:szCs w:val="28"/>
        </w:rPr>
        <w:t xml:space="preserve">4.Жилищным кодексом Российской Федерации;    </w:t>
      </w:r>
    </w:p>
    <w:p>
      <w:pPr>
        <w:pStyle w:val="NormalWeb"/>
        <w:spacing w:beforeAutospacing="0" w:before="0" w:afterAutospacing="0" w:after="0"/>
        <w:ind w:right="0" w:firstLine="708"/>
        <w:jc w:val="both"/>
        <w:rPr>
          <w:sz w:val="28"/>
          <w:szCs w:val="28"/>
        </w:rPr>
      </w:pPr>
      <w:r>
        <w:rPr>
          <w:sz w:val="28"/>
          <w:szCs w:val="28"/>
        </w:rPr>
        <w:t xml:space="preserve">5.Федеральным законом от 6 октября 2003 года № 131-ФЗ «Об общих принципах организации местного самоуправления в Российской Федерации»; </w:t>
      </w:r>
    </w:p>
    <w:p>
      <w:pPr>
        <w:pStyle w:val="NormalWeb"/>
        <w:spacing w:beforeAutospacing="0" w:before="0" w:afterAutospacing="0" w:after="0"/>
        <w:ind w:right="0" w:firstLine="708"/>
        <w:jc w:val="both"/>
        <w:rPr>
          <w:sz w:val="28"/>
          <w:szCs w:val="28"/>
        </w:rPr>
      </w:pPr>
      <w:r>
        <w:rPr>
          <w:sz w:val="28"/>
          <w:szCs w:val="28"/>
        </w:rPr>
        <w:t xml:space="preserve">6.Федеральным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pPr>
        <w:pStyle w:val="NormalWeb"/>
        <w:spacing w:beforeAutospacing="0" w:before="0" w:afterAutospacing="0" w:after="0"/>
        <w:ind w:right="0" w:firstLine="708"/>
        <w:jc w:val="both"/>
        <w:rPr>
          <w:sz w:val="28"/>
          <w:szCs w:val="28"/>
        </w:rPr>
      </w:pPr>
      <w:r>
        <w:rPr>
          <w:sz w:val="28"/>
          <w:szCs w:val="28"/>
        </w:rPr>
        <w:t xml:space="preserve">7.Федеральным законом от 8 ноября 2007 года № 257-ФЗ «Об автомобильных дорогах и о дорожной деятельности в Российской Федерации и внесении изменений в отдельные законодательные акты Российской Федерации»; </w:t>
      </w:r>
    </w:p>
    <w:p>
      <w:pPr>
        <w:pStyle w:val="NormalWeb"/>
        <w:spacing w:beforeAutospacing="0" w:before="0" w:afterAutospacing="0" w:after="0"/>
        <w:ind w:right="0" w:firstLine="708"/>
        <w:jc w:val="both"/>
        <w:rPr>
          <w:sz w:val="28"/>
          <w:szCs w:val="28"/>
        </w:rPr>
      </w:pPr>
      <w:r>
        <w:rPr>
          <w:sz w:val="28"/>
          <w:szCs w:val="28"/>
        </w:rPr>
        <w:t>8.Законом Краснодарского края от 27 сентября 2012 года № 2589-КЗ        «О муниципальном жилищном контроле и порядке взаимодействия органов муниципального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w:t>
      </w:r>
    </w:p>
    <w:p>
      <w:pPr>
        <w:pStyle w:val="NormalWeb"/>
        <w:spacing w:beforeAutospacing="0" w:before="0" w:afterAutospacing="0" w:after="0"/>
        <w:ind w:right="0" w:firstLine="708"/>
        <w:jc w:val="both"/>
        <w:rPr>
          <w:sz w:val="28"/>
          <w:szCs w:val="28"/>
        </w:rPr>
      </w:pPr>
      <w:r>
        <w:rPr>
          <w:sz w:val="28"/>
          <w:szCs w:val="28"/>
        </w:rPr>
        <w:t>9.Законом Краснодарского края от 4 марта 2015 года № 3126-КЗ               «О порядке осуществления органами местного самоуправления муниципального земельного контроля на территории Краснодарского края»;</w:t>
      </w:r>
    </w:p>
    <w:p>
      <w:pPr>
        <w:pStyle w:val="NormalWeb"/>
        <w:spacing w:beforeAutospacing="0" w:before="0" w:afterAutospacing="0" w:after="0"/>
        <w:ind w:right="0" w:firstLine="708"/>
        <w:jc w:val="both"/>
        <w:rPr>
          <w:sz w:val="28"/>
          <w:szCs w:val="28"/>
        </w:rPr>
      </w:pPr>
      <w:r>
        <w:rPr>
          <w:sz w:val="28"/>
          <w:szCs w:val="28"/>
        </w:rPr>
        <w:t>10.Уставом Курганинского городского поселения Курганинского района.</w:t>
      </w:r>
    </w:p>
    <w:p>
      <w:pPr>
        <w:pStyle w:val="NormalWeb"/>
        <w:spacing w:beforeAutospacing="0" w:before="0" w:afterAutospacing="0" w:after="0"/>
        <w:ind w:right="0" w:firstLine="708"/>
        <w:jc w:val="both"/>
        <w:rPr>
          <w:sz w:val="28"/>
          <w:szCs w:val="28"/>
        </w:rPr>
      </w:pPr>
      <w:r>
        <w:rPr>
          <w:sz w:val="28"/>
          <w:szCs w:val="28"/>
        </w:rPr>
      </w:r>
    </w:p>
    <w:p>
      <w:pPr>
        <w:pStyle w:val="3"/>
        <w:spacing w:beforeAutospacing="0" w:before="0" w:afterAutospacing="0" w:after="0"/>
        <w:jc w:val="center"/>
        <w:rPr/>
      </w:pPr>
      <w:r>
        <w:rPr>
          <w:sz w:val="28"/>
          <w:szCs w:val="28"/>
        </w:rPr>
        <w:t>2. Организация муниципального земельного контроля</w:t>
      </w:r>
    </w:p>
    <w:p>
      <w:pPr>
        <w:pStyle w:val="3"/>
        <w:spacing w:beforeAutospacing="0" w:before="0" w:afterAutospacing="0" w:after="0"/>
        <w:jc w:val="center"/>
        <w:rPr/>
      </w:pPr>
      <w:r>
        <w:rPr>
          <w:sz w:val="28"/>
          <w:szCs w:val="28"/>
        </w:rPr>
        <w:t xml:space="preserve"> </w:t>
      </w:r>
    </w:p>
    <w:p>
      <w:pPr>
        <w:pStyle w:val="NormalWeb"/>
        <w:spacing w:beforeAutospacing="0" w:before="0" w:afterAutospacing="0" w:after="0"/>
        <w:ind w:right="0" w:firstLine="708"/>
        <w:jc w:val="both"/>
        <w:rPr/>
      </w:pPr>
      <w:r>
        <w:rPr>
          <w:sz w:val="28"/>
          <w:szCs w:val="28"/>
        </w:rPr>
        <w:t>1.Муниципальный земельный контроль</w:t>
      </w:r>
      <w:r>
        <w:rPr>
          <w:b w:val="false"/>
          <w:bCs w:val="false"/>
          <w:sz w:val="28"/>
          <w:szCs w:val="28"/>
        </w:rPr>
        <w:t>,</w:t>
      </w:r>
      <w:r>
        <w:rPr>
          <w:sz w:val="28"/>
          <w:szCs w:val="28"/>
        </w:rPr>
        <w:t xml:space="preserve"> осуществляется администрацией Курганинского городского поселения Курганинского района (далее - Поселение). Ответственным должностным лиц</w:t>
      </w:r>
      <w:r>
        <w:rPr>
          <w:sz w:val="28"/>
          <w:szCs w:val="28"/>
        </w:rPr>
        <w:t>о</w:t>
      </w:r>
      <w:r>
        <w:rPr>
          <w:sz w:val="28"/>
          <w:szCs w:val="28"/>
        </w:rPr>
        <w:t xml:space="preserve">м по муниципальному земельному контролю, </w:t>
      </w:r>
      <w:r>
        <w:rPr>
          <w:rFonts w:eastAsia="Times New Roman" w:cs="Times New Roman"/>
          <w:b w:val="false"/>
          <w:bCs w:val="false"/>
          <w:color w:val="00000A"/>
          <w:sz w:val="28"/>
          <w:szCs w:val="28"/>
          <w:lang w:val="ru-RU" w:eastAsia="ru-RU" w:bidi="ar-SA"/>
        </w:rPr>
        <w:t xml:space="preserve">назначен </w:t>
      </w:r>
      <w:r>
        <w:rPr>
          <w:b w:val="false"/>
          <w:bCs w:val="false"/>
          <w:sz w:val="28"/>
          <w:szCs w:val="28"/>
        </w:rPr>
        <w:t xml:space="preserve"> в</w:t>
      </w:r>
      <w:r>
        <w:rPr>
          <w:sz w:val="28"/>
          <w:szCs w:val="28"/>
        </w:rPr>
        <w:t>едущи</w:t>
      </w:r>
      <w:r>
        <w:rPr>
          <w:sz w:val="28"/>
          <w:szCs w:val="28"/>
        </w:rPr>
        <w:t>й</w:t>
      </w:r>
      <w:r>
        <w:rPr>
          <w:sz w:val="28"/>
          <w:szCs w:val="28"/>
        </w:rPr>
        <w:t xml:space="preserve"> специалист Поселения.</w:t>
      </w:r>
    </w:p>
    <w:p>
      <w:pPr>
        <w:pStyle w:val="Normal"/>
        <w:ind w:right="0" w:hanging="0"/>
        <w:jc w:val="both"/>
        <w:rPr>
          <w:sz w:val="28"/>
          <w:szCs w:val="28"/>
        </w:rPr>
      </w:pPr>
      <w:r>
        <w:rPr>
          <w:sz w:val="28"/>
          <w:szCs w:val="28"/>
        </w:rPr>
        <w:t xml:space="preserve">        </w:t>
      </w:r>
      <w:r>
        <w:rPr>
          <w:sz w:val="28"/>
          <w:szCs w:val="28"/>
        </w:rPr>
        <w:t xml:space="preserve">2.Основные функции и порядок проведения </w:t>
      </w:r>
      <w:r>
        <w:rPr>
          <w:sz w:val="28"/>
          <w:szCs w:val="28"/>
          <w:u w:val="single"/>
        </w:rPr>
        <w:t xml:space="preserve">муниципального земельного контроля </w:t>
      </w:r>
      <w:r>
        <w:rPr>
          <w:sz w:val="28"/>
          <w:szCs w:val="28"/>
        </w:rPr>
        <w:t>утверждены:</w:t>
      </w:r>
    </w:p>
    <w:p>
      <w:pPr>
        <w:pStyle w:val="Normal"/>
        <w:ind w:right="0" w:hanging="0"/>
        <w:jc w:val="both"/>
        <w:rPr/>
      </w:pPr>
      <w:r>
        <w:rPr>
          <w:sz w:val="28"/>
          <w:szCs w:val="28"/>
        </w:rPr>
        <w:t xml:space="preserve">  </w:t>
      </w:r>
      <w:r>
        <w:rPr>
          <w:sz w:val="28"/>
          <w:szCs w:val="28"/>
        </w:rPr>
        <w:t xml:space="preserve">постановлением администрации Курганинского городского поселения                 Курганинского района от 10 апреля 2015 года № 213 «Об утверждении </w:t>
      </w:r>
    </w:p>
    <w:p>
      <w:pPr>
        <w:pStyle w:val="Normal"/>
        <w:ind w:right="0" w:hanging="0"/>
        <w:jc w:val="center"/>
        <w:rPr/>
      </w:pPr>
      <w:r>
        <w:rPr>
          <w:sz w:val="28"/>
          <w:szCs w:val="28"/>
        </w:rPr>
        <w:t>2</w:t>
      </w:r>
    </w:p>
    <w:p>
      <w:pPr>
        <w:pStyle w:val="Normal"/>
        <w:ind w:right="0" w:hanging="0"/>
        <w:jc w:val="both"/>
        <w:rPr>
          <w:sz w:val="28"/>
          <w:szCs w:val="28"/>
        </w:rPr>
      </w:pPr>
      <w:r>
        <w:rPr>
          <w:sz w:val="28"/>
          <w:szCs w:val="28"/>
        </w:rPr>
        <w:t>административного регламента исполнения администрацией Курганинского городского поселения Курганинского района муниципальной функции «Осуществление муниципального земельного контроля на территории Курганинского городского поселения Курганинского района» (с изменениями     и дополнениями от 06 октября 2015 года № 948; 01 июля 2016 года № 649;               03 августа 2016 года № 940, 17 марта 2017 года № 218, 10 апреля 2017 года        № 324, 26 октября 2017 года № 1104);</w:t>
      </w:r>
    </w:p>
    <w:p>
      <w:pPr>
        <w:pStyle w:val="Normal"/>
        <w:ind w:right="0" w:hanging="0"/>
        <w:jc w:val="both"/>
        <w:rPr/>
      </w:pPr>
      <w:r>
        <w:rPr>
          <w:sz w:val="28"/>
          <w:szCs w:val="28"/>
        </w:rPr>
        <w:t xml:space="preserve">   </w:t>
      </w:r>
      <w:r>
        <w:rPr>
          <w:sz w:val="28"/>
          <w:szCs w:val="28"/>
        </w:rPr>
        <w:t>постановлением администрации Курганинского городского поселения Курганинского района от 16 апреля 2015 года № 234 «Об утверждении Положения «О муниципальном земельном контроле в Курганинском городском поселении Курганинского района» (с изменениями                                  и дополнениями от 02 июля 2015 года № 520; 06 октября 2015 года № 949; 01 июня 2016 года  № 650; 03 августа 2016 года № 941, 17 марта 2017 года                     № 220, 10 апреля  2017 года № 325).</w:t>
      </w:r>
    </w:p>
    <w:p>
      <w:pPr>
        <w:pStyle w:val="NormalWeb"/>
        <w:spacing w:beforeAutospacing="0" w:before="0" w:afterAutospacing="0" w:after="0"/>
        <w:ind w:right="0" w:firstLine="708"/>
        <w:jc w:val="both"/>
        <w:rPr/>
      </w:pPr>
      <w:r>
        <w:rPr>
          <w:sz w:val="28"/>
          <w:szCs w:val="28"/>
        </w:rPr>
        <w:t xml:space="preserve">Плановые  проверки </w:t>
      </w:r>
      <w:r>
        <w:rPr>
          <w:sz w:val="28"/>
          <w:szCs w:val="28"/>
          <w:u w:val="single"/>
        </w:rPr>
        <w:t>по муниципальному земельному контролю</w:t>
      </w:r>
      <w:r>
        <w:rPr>
          <w:sz w:val="28"/>
          <w:szCs w:val="28"/>
        </w:rPr>
        <w:t xml:space="preserve"> проведены в соответствии с планом проведения плановых проверок                  на 2018 год юридических лиц и индивидуальных предпринимателей, согласованным с органами Прокуратуры. </w:t>
      </w:r>
    </w:p>
    <w:p>
      <w:pPr>
        <w:pStyle w:val="NormalWeb"/>
        <w:spacing w:beforeAutospacing="0" w:before="0" w:afterAutospacing="0" w:after="0"/>
        <w:ind w:right="0" w:firstLine="708"/>
        <w:jc w:val="both"/>
        <w:rPr/>
      </w:pPr>
      <w:r>
        <w:rPr>
          <w:sz w:val="28"/>
          <w:szCs w:val="28"/>
        </w:rPr>
        <w:t>Внеплановые проверки по муниципальному земельному контролю не проводились.</w:t>
      </w:r>
    </w:p>
    <w:p>
      <w:pPr>
        <w:pStyle w:val="NormalWeb"/>
        <w:spacing w:beforeAutospacing="0" w:before="0" w:afterAutospacing="0" w:after="0"/>
        <w:ind w:right="0" w:firstLine="708"/>
        <w:jc w:val="both"/>
        <w:rPr>
          <w:sz w:val="28"/>
          <w:szCs w:val="28"/>
        </w:rPr>
      </w:pPr>
      <w:r>
        <w:rPr>
          <w:sz w:val="28"/>
          <w:szCs w:val="28"/>
        </w:rPr>
        <w:t>3. Взаимодействия с другими органами муниципального контроля                  не осуществлялось.</w:t>
      </w:r>
    </w:p>
    <w:p>
      <w:pPr>
        <w:pStyle w:val="NormalWeb"/>
        <w:spacing w:beforeAutospacing="0" w:before="0" w:afterAutospacing="0" w:after="0"/>
        <w:ind w:right="0" w:firstLine="708"/>
        <w:jc w:val="both"/>
        <w:rPr>
          <w:sz w:val="28"/>
          <w:szCs w:val="28"/>
        </w:rPr>
      </w:pPr>
      <w:r>
        <w:rPr>
          <w:sz w:val="28"/>
          <w:szCs w:val="28"/>
        </w:rPr>
        <w:t>4. Экспертные организации и эксперты к выполнению мероприятий                      по контролю при проведении проверки не привлекались.</w:t>
      </w:r>
    </w:p>
    <w:p>
      <w:pPr>
        <w:pStyle w:val="NormalWeb"/>
        <w:spacing w:beforeAutospacing="0" w:before="0" w:afterAutospacing="0" w:after="0"/>
        <w:ind w:right="0" w:firstLine="708"/>
        <w:jc w:val="both"/>
        <w:rPr>
          <w:sz w:val="28"/>
          <w:szCs w:val="28"/>
        </w:rPr>
      </w:pPr>
      <w:r>
        <w:rPr>
          <w:sz w:val="28"/>
          <w:szCs w:val="28"/>
        </w:rPr>
      </w:r>
    </w:p>
    <w:p>
      <w:pPr>
        <w:pStyle w:val="NormalWeb"/>
        <w:spacing w:beforeAutospacing="0" w:before="0" w:afterAutospacing="0" w:after="0"/>
        <w:ind w:right="0" w:hanging="0"/>
        <w:jc w:val="both"/>
        <w:rPr>
          <w:sz w:val="28"/>
          <w:szCs w:val="28"/>
        </w:rPr>
      </w:pPr>
      <w:r>
        <w:rPr>
          <w:sz w:val="28"/>
          <w:szCs w:val="28"/>
        </w:rPr>
      </w:r>
    </w:p>
    <w:p>
      <w:pPr>
        <w:pStyle w:val="NormalWeb"/>
        <w:spacing w:beforeAutospacing="0" w:before="0" w:afterAutospacing="0" w:after="0"/>
        <w:ind w:right="0" w:hanging="0"/>
        <w:jc w:val="center"/>
        <w:rPr>
          <w:b/>
          <w:b/>
          <w:bCs/>
          <w:sz w:val="28"/>
          <w:szCs w:val="28"/>
        </w:rPr>
      </w:pPr>
      <w:r>
        <w:rPr>
          <w:b/>
          <w:bCs/>
          <w:sz w:val="28"/>
          <w:szCs w:val="28"/>
        </w:rPr>
        <w:t>3. Финансовое и кадровое обеспечение муниципального</w:t>
      </w:r>
    </w:p>
    <w:p>
      <w:pPr>
        <w:pStyle w:val="NoSpacing"/>
        <w:jc w:val="center"/>
        <w:rPr/>
      </w:pPr>
      <w:r>
        <w:rPr>
          <w:b/>
          <w:bCs/>
          <w:sz w:val="28"/>
          <w:szCs w:val="28"/>
        </w:rPr>
        <w:t>земельного контроля</w:t>
      </w:r>
    </w:p>
    <w:p>
      <w:pPr>
        <w:pStyle w:val="NoSpacing"/>
        <w:jc w:val="both"/>
        <w:rPr>
          <w:sz w:val="28"/>
          <w:szCs w:val="28"/>
          <w:highlight w:val="yellow"/>
        </w:rPr>
      </w:pPr>
      <w:r>
        <w:rPr>
          <w:sz w:val="28"/>
          <w:szCs w:val="28"/>
          <w:highlight w:val="yellow"/>
        </w:rPr>
      </w:r>
    </w:p>
    <w:p>
      <w:pPr>
        <w:pStyle w:val="NoSpacing"/>
        <w:jc w:val="both"/>
        <w:rPr/>
      </w:pPr>
      <w:r>
        <w:rPr>
          <w:sz w:val="28"/>
          <w:szCs w:val="28"/>
        </w:rPr>
        <w:t xml:space="preserve">    </w:t>
      </w:r>
      <w:r>
        <w:rPr>
          <w:sz w:val="28"/>
          <w:szCs w:val="28"/>
        </w:rPr>
        <w:t>1. В 2018 году денежные средства на мероприятия по проведению муниципального земельного контроля   не выделялись.</w:t>
      </w:r>
    </w:p>
    <w:p>
      <w:pPr>
        <w:pStyle w:val="Normal"/>
        <w:ind w:right="0" w:firstLine="708"/>
        <w:jc w:val="both"/>
        <w:rPr/>
      </w:pPr>
      <w:r>
        <w:rPr>
          <w:sz w:val="28"/>
          <w:szCs w:val="28"/>
        </w:rPr>
        <w:t xml:space="preserve">2. Штатные единицы по должностям, предусматривающим выполнение функций только по муниципальному земельному контролю (муниципальные инспекторы) отсутствуют. </w:t>
      </w:r>
    </w:p>
    <w:p>
      <w:pPr>
        <w:pStyle w:val="NormalWeb"/>
        <w:spacing w:beforeAutospacing="0" w:before="0" w:afterAutospacing="0" w:after="0"/>
        <w:ind w:right="0" w:firstLine="708"/>
        <w:jc w:val="both"/>
        <w:rPr/>
      </w:pPr>
      <w:r>
        <w:rPr>
          <w:sz w:val="28"/>
          <w:szCs w:val="28"/>
        </w:rPr>
        <w:t>3. Мероприятия по повышению квалификации работников                                      не проводились.</w:t>
      </w:r>
    </w:p>
    <w:p>
      <w:pPr>
        <w:pStyle w:val="NormalWeb"/>
        <w:spacing w:beforeAutospacing="0" w:before="0" w:afterAutospacing="0" w:after="0"/>
        <w:ind w:right="0" w:firstLine="708"/>
        <w:jc w:val="both"/>
        <w:rPr>
          <w:sz w:val="28"/>
          <w:szCs w:val="28"/>
        </w:rPr>
      </w:pPr>
      <w:r>
        <w:rPr>
          <w:sz w:val="28"/>
          <w:szCs w:val="28"/>
        </w:rPr>
        <w:t xml:space="preserve">4.  За отчётный период эксперты и представители экспертных организаций к проведению мероприятий по муниципальному контролю не привлекались. </w:t>
      </w:r>
    </w:p>
    <w:p>
      <w:pPr>
        <w:pStyle w:val="NormalWeb"/>
        <w:spacing w:beforeAutospacing="0" w:before="0" w:afterAutospacing="0" w:after="0"/>
        <w:ind w:right="0" w:hanging="0"/>
        <w:jc w:val="both"/>
        <w:rPr>
          <w:b/>
          <w:b/>
          <w:bCs/>
          <w:sz w:val="28"/>
          <w:szCs w:val="28"/>
        </w:rPr>
      </w:pPr>
      <w:r>
        <w:rPr>
          <w:b/>
          <w:bCs/>
          <w:sz w:val="28"/>
          <w:szCs w:val="28"/>
        </w:rPr>
      </w:r>
    </w:p>
    <w:p>
      <w:pPr>
        <w:pStyle w:val="NormalWeb"/>
        <w:spacing w:beforeAutospacing="0" w:before="0" w:afterAutospacing="0" w:after="0"/>
        <w:ind w:right="0" w:hanging="0"/>
        <w:jc w:val="center"/>
        <w:rPr/>
      </w:pPr>
      <w:r>
        <w:rPr>
          <w:b/>
          <w:bCs/>
          <w:sz w:val="28"/>
          <w:szCs w:val="28"/>
        </w:rPr>
        <w:t>4. Проведение муниципального</w:t>
      </w:r>
    </w:p>
    <w:p>
      <w:pPr>
        <w:pStyle w:val="NoSpacing"/>
        <w:jc w:val="center"/>
        <w:rPr/>
      </w:pPr>
      <w:r>
        <w:rPr>
          <w:b/>
          <w:bCs/>
          <w:sz w:val="28"/>
          <w:szCs w:val="28"/>
        </w:rPr>
        <w:t xml:space="preserve"> </w:t>
      </w:r>
      <w:r>
        <w:rPr>
          <w:b/>
          <w:bCs/>
          <w:sz w:val="28"/>
          <w:szCs w:val="28"/>
        </w:rPr>
        <w:t xml:space="preserve">земельного контроля  </w:t>
      </w:r>
    </w:p>
    <w:p>
      <w:pPr>
        <w:pStyle w:val="NoSpacing"/>
        <w:jc w:val="both"/>
        <w:rPr/>
      </w:pPr>
      <w:r>
        <w:rPr>
          <w:sz w:val="28"/>
          <w:szCs w:val="28"/>
        </w:rPr>
        <w:t xml:space="preserve">      </w:t>
      </w:r>
    </w:p>
    <w:p>
      <w:pPr>
        <w:pStyle w:val="NoSpacing"/>
        <w:jc w:val="both"/>
        <w:rPr/>
      </w:pPr>
      <w:r>
        <w:rPr>
          <w:sz w:val="28"/>
          <w:szCs w:val="28"/>
        </w:rPr>
        <w:t xml:space="preserve">      </w:t>
      </w:r>
    </w:p>
    <w:p>
      <w:pPr>
        <w:pStyle w:val="NoSpacing"/>
        <w:jc w:val="both"/>
        <w:rPr>
          <w:sz w:val="28"/>
          <w:szCs w:val="28"/>
        </w:rPr>
      </w:pPr>
      <w:r>
        <w:rPr/>
      </w:r>
    </w:p>
    <w:p>
      <w:pPr>
        <w:pStyle w:val="NoSpacing"/>
        <w:jc w:val="center"/>
        <w:rPr/>
      </w:pPr>
      <w:r>
        <w:rPr>
          <w:sz w:val="28"/>
          <w:szCs w:val="28"/>
        </w:rPr>
        <w:t>3</w:t>
      </w:r>
    </w:p>
    <w:p>
      <w:pPr>
        <w:pStyle w:val="NoSpacing"/>
        <w:jc w:val="both"/>
        <w:rPr/>
      </w:pPr>
      <w:r>
        <w:rPr>
          <w:sz w:val="28"/>
          <w:szCs w:val="28"/>
        </w:rPr>
        <w:t xml:space="preserve">     </w:t>
      </w:r>
      <w:r>
        <w:rPr>
          <w:sz w:val="28"/>
          <w:szCs w:val="28"/>
        </w:rPr>
        <w:t xml:space="preserve">1. В рамках муниципального земельного контроля, в ежегодный план проведения плановых проверок в 2018 году, согласованный с органами  Прокуратуры,  было включено 5 юридических  лиц. </w:t>
      </w:r>
    </w:p>
    <w:p>
      <w:pPr>
        <w:pStyle w:val="NormalWeb"/>
        <w:spacing w:beforeAutospacing="0" w:before="0" w:afterAutospacing="0" w:after="0"/>
        <w:ind w:right="0" w:firstLine="708"/>
        <w:jc w:val="both"/>
        <w:rPr/>
      </w:pPr>
      <w:r>
        <w:rPr>
          <w:sz w:val="28"/>
          <w:szCs w:val="28"/>
        </w:rPr>
        <w:t>За период с января по декабрь 2018 года, были проведены 2 плановые документарные проверки. В ходе проведенных проверок нарушений                        не выявлено. В  процессе проведения проверок по муниципальному земельному контролю рассматривались документы: свидетельства о государственной регистрации права на земельные участки, кадастровые паспорта земельных участков, свидетельства о государственной регистрации прав на строения, договоры аренды на земельные участки. По предоставленным сведениям, в порядке межведомственного взаимодействия и документам предоставленным юридическими лицами, проводилась сверка необходимых данных (площадь земельного участка, вид разрешенного использования земельного участка, вид права).  Также в план проверок на 2018 год были внесены изменения, путем исключения 3 организаций,  в связи с отнесением этих юридических лиц к категории малого предпринимательства.</w:t>
      </w:r>
    </w:p>
    <w:p>
      <w:pPr>
        <w:pStyle w:val="NormalWeb"/>
        <w:spacing w:beforeAutospacing="0" w:before="0" w:afterAutospacing="0" w:after="0"/>
        <w:ind w:right="0" w:firstLine="708"/>
        <w:jc w:val="both"/>
        <w:rPr>
          <w:sz w:val="28"/>
          <w:szCs w:val="28"/>
        </w:rPr>
      </w:pPr>
      <w:r>
        <w:rPr>
          <w:sz w:val="28"/>
          <w:szCs w:val="28"/>
        </w:rPr>
        <w:t>Внеплановые проверки не проводились.</w:t>
      </w:r>
    </w:p>
    <w:p>
      <w:pPr>
        <w:pStyle w:val="Normal"/>
        <w:ind w:right="0" w:firstLine="708"/>
        <w:jc w:val="both"/>
        <w:rPr/>
      </w:pPr>
      <w:r>
        <w:rPr>
          <w:sz w:val="28"/>
          <w:szCs w:val="28"/>
        </w:rPr>
        <w:t>2. За отчетный период администрация Курганинского городского поселения Курганинского района по муниципальному земельному контролю провела 1 совместную проверку с Государственной инспекцией труда   Краснодарского края.</w:t>
      </w:r>
    </w:p>
    <w:p>
      <w:pPr>
        <w:pStyle w:val="NormalWeb"/>
        <w:spacing w:beforeAutospacing="0" w:before="0" w:afterAutospacing="0" w:after="0"/>
        <w:ind w:right="0" w:firstLine="708"/>
        <w:jc w:val="both"/>
        <w:rPr/>
      </w:pPr>
      <w:r>
        <w:rPr>
          <w:sz w:val="28"/>
          <w:szCs w:val="28"/>
        </w:rPr>
        <w:t>3.Сведения о случаях причинения юридическими лицами                                        и индивидуальными предпринимателями, в отношении которых осуществлялись контрольные мероприятия, возникновения угрозы причинения вреда жизни, здоровью граждан, вреда животным, растениям, окружающей среде, объектам культурного населения (памятникам культуры и истории)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имуществу физических и юридических лиц, случаи возникновения чрезвычайных ситуаций природного и техногенного характера в ходе проверки не установлены.</w:t>
      </w:r>
    </w:p>
    <w:p>
      <w:pPr>
        <w:pStyle w:val="NormalWeb"/>
        <w:spacing w:beforeAutospacing="0" w:before="0" w:afterAutospacing="0" w:after="0"/>
        <w:jc w:val="center"/>
        <w:rPr>
          <w:b/>
          <w:b/>
          <w:bCs/>
          <w:color w:val="C00000"/>
          <w:sz w:val="28"/>
          <w:szCs w:val="28"/>
        </w:rPr>
      </w:pPr>
      <w:r>
        <w:rPr>
          <w:b/>
          <w:bCs/>
          <w:color w:val="C00000"/>
          <w:sz w:val="28"/>
          <w:szCs w:val="28"/>
        </w:rPr>
      </w:r>
    </w:p>
    <w:p>
      <w:pPr>
        <w:pStyle w:val="NormalWeb"/>
        <w:spacing w:beforeAutospacing="0" w:before="0" w:afterAutospacing="0" w:after="0"/>
        <w:ind w:right="0" w:hanging="0"/>
        <w:jc w:val="center"/>
        <w:rPr>
          <w:b/>
          <w:b/>
          <w:bCs/>
          <w:sz w:val="28"/>
          <w:szCs w:val="28"/>
        </w:rPr>
      </w:pPr>
      <w:r>
        <w:rPr>
          <w:b/>
          <w:bCs/>
          <w:sz w:val="28"/>
          <w:szCs w:val="28"/>
        </w:rPr>
        <w:t>5. Действия органов муниципального</w:t>
      </w:r>
    </w:p>
    <w:p>
      <w:pPr>
        <w:pStyle w:val="NoSpacing"/>
        <w:jc w:val="center"/>
        <w:rPr/>
      </w:pPr>
      <w:r>
        <w:rPr>
          <w:b/>
          <w:bCs/>
          <w:sz w:val="28"/>
          <w:szCs w:val="28"/>
        </w:rPr>
        <w:t xml:space="preserve"> </w:t>
      </w:r>
      <w:r>
        <w:rPr>
          <w:b/>
          <w:bCs/>
          <w:sz w:val="28"/>
          <w:szCs w:val="28"/>
        </w:rPr>
        <w:t>земельного контроля</w:t>
      </w:r>
    </w:p>
    <w:p>
      <w:pPr>
        <w:pStyle w:val="NormalWeb"/>
        <w:spacing w:beforeAutospacing="0" w:before="0" w:afterAutospacing="0" w:after="0"/>
        <w:jc w:val="center"/>
        <w:rPr>
          <w:b/>
          <w:b/>
          <w:bCs/>
          <w:sz w:val="28"/>
          <w:szCs w:val="28"/>
        </w:rPr>
      </w:pPr>
      <w:r>
        <w:rPr>
          <w:b/>
          <w:bCs/>
          <w:sz w:val="28"/>
          <w:szCs w:val="28"/>
        </w:rPr>
        <w:t>по пресечению нарушений обязательных требований</w:t>
      </w:r>
    </w:p>
    <w:p>
      <w:pPr>
        <w:pStyle w:val="NormalWeb"/>
        <w:spacing w:beforeAutospacing="0" w:before="0" w:afterAutospacing="0" w:after="0"/>
        <w:jc w:val="center"/>
        <w:rPr>
          <w:b/>
          <w:b/>
          <w:bCs/>
          <w:sz w:val="28"/>
          <w:szCs w:val="28"/>
        </w:rPr>
      </w:pPr>
      <w:r>
        <w:rPr>
          <w:b/>
          <w:bCs/>
          <w:sz w:val="28"/>
          <w:szCs w:val="28"/>
        </w:rPr>
        <w:t>и (или) устранению последствий таких нарушений</w:t>
      </w:r>
    </w:p>
    <w:p>
      <w:pPr>
        <w:pStyle w:val="NormalWeb"/>
        <w:spacing w:beforeAutospacing="0" w:before="0" w:afterAutospacing="0" w:after="0"/>
        <w:ind w:right="0" w:firstLine="708"/>
        <w:jc w:val="both"/>
        <w:rPr>
          <w:b/>
          <w:b/>
          <w:bCs/>
          <w:sz w:val="28"/>
          <w:szCs w:val="28"/>
        </w:rPr>
      </w:pPr>
      <w:r>
        <w:rPr>
          <w:sz w:val="28"/>
          <w:szCs w:val="28"/>
        </w:rPr>
        <w:t>В ходе проведения плановых проверок в отношении проверяемых лиц нарушений действующего законодательства не установлено.</w:t>
      </w:r>
    </w:p>
    <w:p>
      <w:pPr>
        <w:pStyle w:val="NormalWeb"/>
        <w:spacing w:beforeAutospacing="0" w:before="0" w:afterAutospacing="0" w:after="0"/>
        <w:ind w:right="0" w:hanging="0"/>
        <w:jc w:val="center"/>
        <w:rPr>
          <w:b/>
          <w:b/>
          <w:bCs/>
          <w:color w:val="C00000"/>
          <w:sz w:val="28"/>
          <w:szCs w:val="28"/>
        </w:rPr>
      </w:pPr>
      <w:r>
        <w:rPr>
          <w:b/>
          <w:bCs/>
          <w:color w:val="C00000"/>
          <w:sz w:val="28"/>
          <w:szCs w:val="28"/>
        </w:rPr>
      </w:r>
    </w:p>
    <w:p>
      <w:pPr>
        <w:pStyle w:val="NormalWeb"/>
        <w:spacing w:beforeAutospacing="0" w:before="0" w:afterAutospacing="0" w:after="0"/>
        <w:ind w:right="0" w:hanging="0"/>
        <w:jc w:val="center"/>
        <w:rPr/>
      </w:pPr>
      <w:r>
        <w:rPr>
          <w:b/>
          <w:bCs/>
          <w:sz w:val="28"/>
          <w:szCs w:val="28"/>
        </w:rPr>
        <w:t>4</w:t>
      </w:r>
    </w:p>
    <w:p>
      <w:pPr>
        <w:pStyle w:val="NormalWeb"/>
        <w:spacing w:beforeAutospacing="0" w:before="0" w:afterAutospacing="0" w:after="0"/>
        <w:ind w:right="0" w:hanging="0"/>
        <w:jc w:val="center"/>
        <w:rPr>
          <w:b/>
          <w:b/>
          <w:bCs/>
          <w:sz w:val="28"/>
          <w:szCs w:val="28"/>
        </w:rPr>
      </w:pPr>
      <w:r>
        <w:rPr>
          <w:b/>
          <w:bCs/>
          <w:sz w:val="28"/>
          <w:szCs w:val="28"/>
        </w:rPr>
        <w:t>6. Анализ и оценка эффективности муниципального</w:t>
      </w:r>
    </w:p>
    <w:p>
      <w:pPr>
        <w:pStyle w:val="NoSpacing"/>
        <w:jc w:val="center"/>
        <w:rPr/>
      </w:pPr>
      <w:r>
        <w:rPr>
          <w:b/>
          <w:bCs/>
          <w:sz w:val="28"/>
          <w:szCs w:val="28"/>
        </w:rPr>
        <w:t xml:space="preserve">земельного контроля  </w:t>
      </w:r>
    </w:p>
    <w:p>
      <w:pPr>
        <w:pStyle w:val="NoSpacing"/>
        <w:jc w:val="center"/>
        <w:rPr>
          <w:color w:val="C00000"/>
          <w:sz w:val="28"/>
          <w:szCs w:val="28"/>
        </w:rPr>
      </w:pPr>
      <w:r>
        <w:rPr>
          <w:sz w:val="28"/>
          <w:szCs w:val="28"/>
        </w:rPr>
        <w:t xml:space="preserve">Для анализа и оценки эффективности муниципального контроля представлены следующие показатели (%): </w:t>
      </w:r>
    </w:p>
    <w:tbl>
      <w:tblPr>
        <w:tblW w:w="10349" w:type="dxa"/>
        <w:jc w:val="left"/>
        <w:tblInd w:w="-19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1e0"/>
      </w:tblPr>
      <w:tblGrid>
        <w:gridCol w:w="5384"/>
        <w:gridCol w:w="851"/>
        <w:gridCol w:w="709"/>
        <w:gridCol w:w="3"/>
        <w:gridCol w:w="706"/>
        <w:gridCol w:w="849"/>
        <w:gridCol w:w="3"/>
        <w:gridCol w:w="992"/>
        <w:gridCol w:w="3"/>
        <w:gridCol w:w="848"/>
      </w:tblGrid>
      <w:tr>
        <w:trPr>
          <w:tblHeader w:val="true"/>
        </w:trPr>
        <w:tc>
          <w:tcPr>
            <w:tcW w:w="538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pPr>
            <w:r>
              <w:rPr/>
            </w:r>
          </w:p>
          <w:p>
            <w:pPr>
              <w:pStyle w:val="Normal"/>
              <w:jc w:val="center"/>
              <w:rPr/>
            </w:pPr>
            <w:r>
              <w:rPr/>
            </w:r>
          </w:p>
          <w:p>
            <w:pPr>
              <w:pStyle w:val="Normal"/>
              <w:jc w:val="center"/>
              <w:rPr/>
            </w:pPr>
            <w:r>
              <w:rPr/>
              <w:t>Наименование показателя</w:t>
            </w:r>
          </w:p>
        </w:tc>
        <w:tc>
          <w:tcPr>
            <w:tcW w:w="156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pPr>
            <w:r>
              <w:rPr/>
              <w:t>2017 год</w:t>
            </w:r>
          </w:p>
        </w:tc>
        <w:tc>
          <w:tcPr>
            <w:tcW w:w="155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pPr>
            <w:r>
              <w:rPr/>
              <w:t>2018 год</w:t>
            </w:r>
          </w:p>
        </w:tc>
        <w:tc>
          <w:tcPr>
            <w:tcW w:w="9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ind w:right="0" w:hanging="0"/>
              <w:jc w:val="both"/>
              <w:rPr/>
            </w:pPr>
            <w:r>
              <w:rPr/>
              <w:t xml:space="preserve">Выполн. </w:t>
            </w:r>
          </w:p>
          <w:p>
            <w:pPr>
              <w:pStyle w:val="Normal"/>
              <w:ind w:right="0" w:hanging="0"/>
              <w:jc w:val="both"/>
              <w:rPr/>
            </w:pPr>
            <w:r>
              <w:rPr/>
              <w:t xml:space="preserve">за </w:t>
            </w:r>
          </w:p>
          <w:p>
            <w:pPr>
              <w:pStyle w:val="Normal"/>
              <w:ind w:right="0" w:hanging="0"/>
              <w:jc w:val="both"/>
              <w:rPr/>
            </w:pPr>
            <w:r>
              <w:rPr/>
              <w:t>2017</w:t>
            </w:r>
          </w:p>
          <w:p>
            <w:pPr>
              <w:pStyle w:val="Normal"/>
              <w:ind w:right="0" w:hanging="0"/>
              <w:jc w:val="both"/>
              <w:rPr>
                <w:color w:val="C00000"/>
              </w:rPr>
            </w:pPr>
            <w:r>
              <w:rPr/>
              <w:t>год</w:t>
            </w:r>
          </w:p>
        </w:tc>
        <w:tc>
          <w:tcPr>
            <w:tcW w:w="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ind w:right="0" w:hanging="0"/>
              <w:jc w:val="both"/>
              <w:rPr/>
            </w:pPr>
            <w:r>
              <w:rPr/>
              <w:t xml:space="preserve">Выполн. </w:t>
            </w:r>
          </w:p>
          <w:p>
            <w:pPr>
              <w:pStyle w:val="Normal"/>
              <w:ind w:right="0" w:hanging="0"/>
              <w:jc w:val="both"/>
              <w:rPr/>
            </w:pPr>
            <w:r>
              <w:rPr/>
              <w:t xml:space="preserve">за </w:t>
            </w:r>
          </w:p>
          <w:p>
            <w:pPr>
              <w:pStyle w:val="Normal"/>
              <w:ind w:right="0" w:hanging="0"/>
              <w:jc w:val="both"/>
              <w:rPr/>
            </w:pPr>
            <w:r>
              <w:rPr/>
              <w:t>2018</w:t>
            </w:r>
          </w:p>
          <w:p>
            <w:pPr>
              <w:pStyle w:val="Normal"/>
              <w:ind w:right="0" w:hanging="0"/>
              <w:jc w:val="both"/>
              <w:rPr>
                <w:color w:val="C00000"/>
              </w:rPr>
            </w:pPr>
            <w:r>
              <w:rPr/>
              <w:t>год</w:t>
            </w:r>
          </w:p>
        </w:tc>
      </w:tr>
      <w:tr>
        <w:trPr>
          <w:tblHeader w:val="true"/>
        </w:trPr>
        <w:tc>
          <w:tcPr>
            <w:tcW w:w="538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vAlign w:val="center"/>
          </w:tcPr>
          <w:p>
            <w:pPr>
              <w:pStyle w:val="Normal"/>
              <w:rPr/>
            </w:pPr>
            <w:r>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pPr>
            <w:r>
              <w:rPr/>
              <w:t>1-ое полугод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pPr>
            <w:r>
              <w:rPr/>
              <w:t>2-ое полугод</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pPr>
            <w:r>
              <w:rPr/>
              <w:t>1-ое полугод</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pPr>
            <w:r>
              <w:rPr/>
              <w:t>2-ое полугод</w:t>
            </w:r>
          </w:p>
        </w:tc>
        <w:tc>
          <w:tcPr>
            <w:tcW w:w="9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vAlign w:val="center"/>
          </w:tcPr>
          <w:p>
            <w:pPr>
              <w:pStyle w:val="Normal"/>
              <w:rPr>
                <w:color w:val="C00000"/>
              </w:rPr>
            </w:pPr>
            <w:r>
              <w:rPr>
                <w:color w:val="C00000"/>
              </w:rPr>
            </w:r>
          </w:p>
        </w:tc>
        <w:tc>
          <w:tcPr>
            <w:tcW w:w="8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vAlign w:val="center"/>
          </w:tcPr>
          <w:p>
            <w:pPr>
              <w:pStyle w:val="Normal"/>
              <w:rPr>
                <w:color w:val="C00000"/>
              </w:rPr>
            </w:pPr>
            <w:r>
              <w:rPr>
                <w:color w:val="C00000"/>
              </w:rPr>
            </w:r>
          </w:p>
        </w:tc>
      </w:tr>
      <w:tr>
        <w:trPr>
          <w:trHeight w:val="622" w:hRule="atLeast"/>
        </w:trPr>
        <w:tc>
          <w:tcPr>
            <w:tcW w:w="5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both"/>
              <w:rPr/>
            </w:pPr>
            <w:r>
              <w:rPr/>
              <w:t>1.выполнение плана проведения проверок (доля проведенных плановых проверок в процентах общего количества запланированных проверок)</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60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40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100</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c>
          <w:tcPr>
            <w:tcW w:w="9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rPr>
                <w:sz w:val="20"/>
                <w:szCs w:val="20"/>
              </w:rPr>
            </w:pPr>
            <w:r>
              <w:rPr>
                <w:sz w:val="20"/>
                <w:szCs w:val="20"/>
              </w:rPr>
              <w:t>100</w:t>
            </w:r>
          </w:p>
        </w:tc>
        <w:tc>
          <w:tcPr>
            <w:tcW w:w="8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ind w:left="0" w:right="0" w:hanging="0"/>
              <w:rPr/>
            </w:pPr>
            <w:r>
              <w:rPr>
                <w:color w:val="C00000"/>
                <w:sz w:val="20"/>
                <w:szCs w:val="20"/>
              </w:rPr>
              <w:t xml:space="preserve">  </w:t>
            </w:r>
            <w:r>
              <w:rPr>
                <w:sz w:val="20"/>
                <w:szCs w:val="20"/>
              </w:rPr>
              <w:t xml:space="preserve">100 </w:t>
            </w:r>
          </w:p>
        </w:tc>
      </w:tr>
      <w:tr>
        <w:trPr/>
        <w:tc>
          <w:tcPr>
            <w:tcW w:w="5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both"/>
              <w:rPr/>
            </w:pPr>
            <w:r>
              <w:rPr/>
              <w:t>2.доля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 xml:space="preserve"> </w:t>
            </w:r>
            <w:r>
              <w:rPr>
                <w:sz w:val="20"/>
                <w:szCs w:val="20"/>
              </w:rPr>
              <w:t>0</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 xml:space="preserve">0 </w:t>
            </w:r>
          </w:p>
        </w:tc>
        <w:tc>
          <w:tcPr>
            <w:tcW w:w="9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c>
          <w:tcPr>
            <w:tcW w:w="8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ind w:left="44" w:right="0" w:hanging="44"/>
              <w:rPr>
                <w:sz w:val="20"/>
                <w:szCs w:val="20"/>
              </w:rPr>
            </w:pPr>
            <w:r>
              <w:rPr>
                <w:sz w:val="20"/>
                <w:szCs w:val="20"/>
              </w:rPr>
              <w:t xml:space="preserve">  </w:t>
            </w:r>
            <w:r>
              <w:rPr>
                <w:sz w:val="20"/>
                <w:szCs w:val="20"/>
              </w:rPr>
              <w:t>0</w:t>
            </w:r>
          </w:p>
        </w:tc>
      </w:tr>
      <w:tr>
        <w:trPr/>
        <w:tc>
          <w:tcPr>
            <w:tcW w:w="5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both"/>
              <w:rPr/>
            </w:pPr>
            <w:r>
              <w:rPr/>
              <w:t>3.доля проверок, результаты которых признаны недействительными (в процентах общего числа проведенных проверок)</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c>
          <w:tcPr>
            <w:tcW w:w="9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c>
          <w:tcPr>
            <w:tcW w:w="8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r>
      <w:tr>
        <w:trPr/>
        <w:tc>
          <w:tcPr>
            <w:tcW w:w="5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both"/>
              <w:rPr/>
            </w:pPr>
            <w:r>
              <w:rPr/>
              <w:t>4.доля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c>
          <w:tcPr>
            <w:tcW w:w="9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c>
          <w:tcPr>
            <w:tcW w:w="8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r>
      <w:tr>
        <w:trPr/>
        <w:tc>
          <w:tcPr>
            <w:tcW w:w="5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both"/>
              <w:rPr/>
            </w:pPr>
            <w:r>
              <w:rPr/>
              <w:t>5.доля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pPr>
            <w:r>
              <w:rPr>
                <w:sz w:val="20"/>
                <w:szCs w:val="20"/>
              </w:rPr>
              <w:t>0,11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pPr>
            <w:r>
              <w:rPr>
                <w:sz w:val="20"/>
                <w:szCs w:val="20"/>
              </w:rPr>
              <w:t>0,07</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pPr>
            <w:r>
              <w:rPr>
                <w:sz w:val="20"/>
                <w:szCs w:val="20"/>
              </w:rPr>
              <w:t>0,07</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highlight w:val="yellow"/>
              </w:rPr>
            </w:pPr>
            <w:r>
              <w:rPr>
                <w:sz w:val="20"/>
                <w:szCs w:val="20"/>
              </w:rPr>
              <w:t xml:space="preserve">0 </w:t>
            </w:r>
          </w:p>
        </w:tc>
        <w:tc>
          <w:tcPr>
            <w:tcW w:w="9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pPr>
            <w:r>
              <w:rPr>
                <w:sz w:val="20"/>
                <w:szCs w:val="20"/>
              </w:rPr>
              <w:t>0,18</w:t>
            </w:r>
          </w:p>
        </w:tc>
        <w:tc>
          <w:tcPr>
            <w:tcW w:w="8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highlight w:val="yellow"/>
              </w:rPr>
            </w:pPr>
            <w:r>
              <w:rPr>
                <w:sz w:val="20"/>
                <w:szCs w:val="20"/>
              </w:rPr>
              <w:t xml:space="preserve">0,07  </w:t>
            </w:r>
          </w:p>
        </w:tc>
      </w:tr>
      <w:tr>
        <w:trPr/>
        <w:tc>
          <w:tcPr>
            <w:tcW w:w="5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both"/>
              <w:rPr/>
            </w:pPr>
            <w:r>
              <w:rPr/>
              <w:t>6.среднее количество проверок, проведенных в отношении одного юридического лица, индивидуального предпринимателя</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c>
          <w:tcPr>
            <w:tcW w:w="9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c>
          <w:tcPr>
            <w:tcW w:w="8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r>
      <w:tr>
        <w:trPr/>
        <w:tc>
          <w:tcPr>
            <w:tcW w:w="5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both"/>
              <w:rPr/>
            </w:pPr>
            <w:r>
              <w:rPr/>
              <w:t>7.доля проведенных внеплановых проверок (в процентах общего количества проведенных проверок)</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c>
          <w:tcPr>
            <w:tcW w:w="9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c>
          <w:tcPr>
            <w:tcW w:w="8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r>
      <w:tr>
        <w:trPr/>
        <w:tc>
          <w:tcPr>
            <w:tcW w:w="5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both"/>
              <w:rPr/>
            </w:pPr>
            <w:r>
              <w:rPr/>
              <w:t>8.доля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c>
          <w:tcPr>
            <w:tcW w:w="9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c>
          <w:tcPr>
            <w:tcW w:w="8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r>
      <w:tr>
        <w:trPr/>
        <w:tc>
          <w:tcPr>
            <w:tcW w:w="5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both"/>
              <w:rPr/>
            </w:pPr>
            <w:r>
              <w:rPr/>
              <w:t>9.доля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c>
          <w:tcPr>
            <w:tcW w:w="9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c>
          <w:tcPr>
            <w:tcW w:w="8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r>
      <w:tr>
        <w:trPr/>
        <w:tc>
          <w:tcPr>
            <w:tcW w:w="5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both"/>
              <w:rPr/>
            </w:pPr>
            <w:r>
              <w:rPr/>
              <w:t>10.доля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c>
          <w:tcPr>
            <w:tcW w:w="9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c>
          <w:tcPr>
            <w:tcW w:w="8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r>
      <w:tr>
        <w:trPr/>
        <w:tc>
          <w:tcPr>
            <w:tcW w:w="5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both"/>
              <w:rPr/>
            </w:pPr>
            <w:r>
              <w:rPr/>
              <w:t>11.доля проверок, по итогам которых выявлены правонарушения (в процентах общего числа проведенных плановых и внеплановых проверок)</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c>
          <w:tcPr>
            <w:tcW w:w="9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c>
          <w:tcPr>
            <w:tcW w:w="8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r>
      <w:tr>
        <w:trPr/>
        <w:tc>
          <w:tcPr>
            <w:tcW w:w="5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both"/>
              <w:rPr/>
            </w:pPr>
            <w:r>
              <w:rPr/>
              <w:t>12.доля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c>
          <w:tcPr>
            <w:tcW w:w="9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c>
          <w:tcPr>
            <w:tcW w:w="8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r>
      <w:tr>
        <w:trPr>
          <w:trHeight w:val="23" w:hRule="exact"/>
        </w:trPr>
        <w:tc>
          <w:tcPr>
            <w:tcW w:w="5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both"/>
              <w:rPr>
                <w:color w:val="C00000"/>
              </w:rPr>
            </w:pPr>
            <w:r>
              <w:rPr>
                <w:color w:val="C00000"/>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color w:val="C00000"/>
                <w:sz w:val="20"/>
                <w:szCs w:val="20"/>
              </w:rPr>
            </w:pPr>
            <w:r>
              <w:rPr>
                <w:color w:val="C00000"/>
                <w:sz w:val="20"/>
                <w:szCs w:val="20"/>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color w:val="C00000"/>
                <w:sz w:val="20"/>
                <w:szCs w:val="20"/>
              </w:rPr>
            </w:pPr>
            <w:r>
              <w:rPr>
                <w:color w:val="C00000"/>
                <w:sz w:val="20"/>
                <w:szCs w:val="20"/>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color w:val="C00000"/>
                <w:sz w:val="20"/>
                <w:szCs w:val="20"/>
              </w:rPr>
            </w:pPr>
            <w:r>
              <w:rPr>
                <w:color w:val="C00000"/>
                <w:sz w:val="20"/>
                <w:szCs w:val="20"/>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color w:val="C00000"/>
                <w:sz w:val="20"/>
                <w:szCs w:val="20"/>
              </w:rPr>
            </w:pPr>
            <w:r>
              <w:rPr>
                <w:color w:val="C00000"/>
                <w:sz w:val="20"/>
                <w:szCs w:val="20"/>
              </w:rPr>
            </w:r>
          </w:p>
        </w:tc>
        <w:tc>
          <w:tcPr>
            <w:tcW w:w="9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color w:val="C00000"/>
                <w:sz w:val="20"/>
                <w:szCs w:val="20"/>
              </w:rPr>
            </w:pPr>
            <w:r>
              <w:rPr>
                <w:color w:val="C00000"/>
                <w:sz w:val="20"/>
                <w:szCs w:val="20"/>
              </w:rPr>
            </w:r>
          </w:p>
        </w:tc>
        <w:tc>
          <w:tcPr>
            <w:tcW w:w="8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color w:val="C00000"/>
                <w:sz w:val="20"/>
                <w:szCs w:val="20"/>
              </w:rPr>
            </w:pPr>
            <w:r>
              <w:rPr>
                <w:color w:val="C00000"/>
                <w:sz w:val="20"/>
                <w:szCs w:val="20"/>
              </w:rPr>
            </w:r>
          </w:p>
        </w:tc>
      </w:tr>
      <w:tr>
        <w:trPr/>
        <w:tc>
          <w:tcPr>
            <w:tcW w:w="5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both"/>
              <w:rPr/>
            </w:pPr>
            <w:r>
              <w:rPr/>
              <w:t>13.доля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c>
          <w:tcPr>
            <w:tcW w:w="9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c>
          <w:tcPr>
            <w:tcW w:w="8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r>
      <w:tr>
        <w:trPr/>
        <w:tc>
          <w:tcPr>
            <w:tcW w:w="5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both"/>
              <w:rPr/>
            </w:pPr>
            <w:r>
              <w:rPr/>
              <w:t>14.доля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c>
          <w:tcPr>
            <w:tcW w:w="9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c>
          <w:tcPr>
            <w:tcW w:w="8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r>
      <w:tr>
        <w:trPr/>
        <w:tc>
          <w:tcPr>
            <w:tcW w:w="5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both"/>
              <w:rPr/>
            </w:pPr>
            <w:r>
              <w:rPr/>
              <w:t>15.доля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c>
          <w:tcPr>
            <w:tcW w:w="9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c>
          <w:tcPr>
            <w:tcW w:w="8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r>
      <w:tr>
        <w:trPr/>
        <w:tc>
          <w:tcPr>
            <w:tcW w:w="5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both"/>
              <w:rPr/>
            </w:pPr>
            <w:r>
              <w:rPr/>
              <w:t>16.количество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c>
          <w:tcPr>
            <w:tcW w:w="9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c>
          <w:tcPr>
            <w:tcW w:w="8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r>
      <w:tr>
        <w:trPr/>
        <w:tc>
          <w:tcPr>
            <w:tcW w:w="5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both"/>
              <w:rPr/>
            </w:pPr>
            <w:r>
              <w:rPr/>
              <w:t>17.доля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c>
          <w:tcPr>
            <w:tcW w:w="9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c>
          <w:tcPr>
            <w:tcW w:w="8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center"/>
              <w:rPr>
                <w:sz w:val="20"/>
                <w:szCs w:val="20"/>
              </w:rPr>
            </w:pPr>
            <w:r>
              <w:rPr>
                <w:sz w:val="20"/>
                <w:szCs w:val="20"/>
              </w:rPr>
              <w:t>0</w:t>
            </w:r>
          </w:p>
        </w:tc>
      </w:tr>
    </w:tbl>
    <w:p>
      <w:pPr>
        <w:pStyle w:val="NormalWeb"/>
        <w:spacing w:beforeAutospacing="0" w:before="0" w:afterAutospacing="0" w:after="0"/>
        <w:jc w:val="center"/>
        <w:rPr>
          <w:b/>
          <w:b/>
          <w:bCs/>
          <w:color w:val="C00000"/>
          <w:sz w:val="28"/>
          <w:szCs w:val="28"/>
        </w:rPr>
      </w:pPr>
      <w:r>
        <w:rPr>
          <w:b/>
          <w:bCs/>
          <w:color w:val="C00000"/>
          <w:sz w:val="28"/>
          <w:szCs w:val="28"/>
        </w:rPr>
      </w:r>
    </w:p>
    <w:p>
      <w:pPr>
        <w:pStyle w:val="NormalWeb"/>
        <w:spacing w:beforeAutospacing="0" w:before="0" w:afterAutospacing="0" w:after="0"/>
        <w:jc w:val="center"/>
        <w:rPr>
          <w:b/>
          <w:b/>
          <w:bCs/>
          <w:sz w:val="28"/>
          <w:szCs w:val="28"/>
        </w:rPr>
      </w:pPr>
      <w:r>
        <w:rPr/>
      </w:r>
    </w:p>
    <w:p>
      <w:pPr>
        <w:pStyle w:val="NormalWeb"/>
        <w:spacing w:beforeAutospacing="0" w:before="0" w:afterAutospacing="0" w:after="0"/>
        <w:jc w:val="center"/>
        <w:rPr>
          <w:b/>
          <w:b/>
          <w:bCs/>
          <w:sz w:val="28"/>
          <w:szCs w:val="28"/>
        </w:rPr>
      </w:pPr>
      <w:r>
        <w:rPr>
          <w:b/>
          <w:bCs/>
          <w:sz w:val="28"/>
          <w:szCs w:val="28"/>
        </w:rPr>
        <w:t>7. Выводы и предложения по результатам</w:t>
      </w:r>
    </w:p>
    <w:p>
      <w:pPr>
        <w:pStyle w:val="NormalWeb"/>
        <w:spacing w:beforeAutospacing="0" w:before="0" w:afterAutospacing="0" w:after="0"/>
        <w:jc w:val="center"/>
        <w:rPr>
          <w:b/>
          <w:b/>
          <w:bCs/>
          <w:sz w:val="28"/>
          <w:szCs w:val="28"/>
        </w:rPr>
      </w:pPr>
      <w:r>
        <w:rPr>
          <w:b/>
          <w:bCs/>
          <w:sz w:val="28"/>
          <w:szCs w:val="28"/>
        </w:rPr>
        <w:t>муниципального контроля</w:t>
      </w:r>
    </w:p>
    <w:p>
      <w:pPr>
        <w:pStyle w:val="Normal"/>
        <w:ind w:right="0" w:firstLine="540"/>
        <w:jc w:val="both"/>
        <w:rPr>
          <w:sz w:val="28"/>
          <w:szCs w:val="28"/>
        </w:rPr>
      </w:pPr>
      <w:r>
        <w:rPr>
          <w:sz w:val="28"/>
          <w:szCs w:val="28"/>
        </w:rPr>
        <w:t>Повышению эффективности осуществления муниципального контроля будет способствовать:</w:t>
      </w:r>
    </w:p>
    <w:p>
      <w:pPr>
        <w:pStyle w:val="Normal"/>
        <w:ind w:right="0" w:firstLine="540"/>
        <w:jc w:val="both"/>
        <w:rPr>
          <w:sz w:val="28"/>
          <w:szCs w:val="28"/>
        </w:rPr>
      </w:pPr>
      <w:r>
        <w:rPr>
          <w:sz w:val="28"/>
          <w:szCs w:val="28"/>
        </w:rPr>
        <w:t>- введение штатных единиц по исполнению функций по муниципальному контролю (муниципальный инспектор);</w:t>
      </w:r>
    </w:p>
    <w:p>
      <w:pPr>
        <w:pStyle w:val="Normal"/>
        <w:ind w:right="0" w:firstLine="540"/>
        <w:jc w:val="both"/>
        <w:rPr>
          <w:sz w:val="28"/>
          <w:szCs w:val="28"/>
        </w:rPr>
      </w:pPr>
      <w:r>
        <w:rPr>
          <w:sz w:val="28"/>
          <w:szCs w:val="28"/>
        </w:rPr>
        <w:t>- качественное и своевременное составление и согласование плана проверок муниципального контроля с органами прокуратуры;</w:t>
      </w:r>
    </w:p>
    <w:p>
      <w:pPr>
        <w:pStyle w:val="Normal"/>
        <w:ind w:right="0" w:firstLine="540"/>
        <w:jc w:val="both"/>
        <w:rPr>
          <w:sz w:val="28"/>
          <w:szCs w:val="28"/>
        </w:rPr>
      </w:pPr>
      <w:r>
        <w:rPr>
          <w:sz w:val="28"/>
          <w:szCs w:val="28"/>
        </w:rPr>
        <w:t>- планирование финансовых средств, для осуществления муниципального контроля;</w:t>
      </w:r>
    </w:p>
    <w:p>
      <w:pPr>
        <w:pStyle w:val="Normal"/>
        <w:ind w:right="0" w:firstLine="540"/>
        <w:jc w:val="both"/>
        <w:rPr>
          <w:sz w:val="28"/>
          <w:szCs w:val="28"/>
        </w:rPr>
      </w:pPr>
      <w:r>
        <w:rPr>
          <w:sz w:val="28"/>
          <w:szCs w:val="28"/>
        </w:rPr>
        <w:t xml:space="preserve">- повышение квалификации специалистов, осуществляющих муниципальный контроль. </w:t>
      </w:r>
    </w:p>
    <w:p>
      <w:pPr>
        <w:pStyle w:val="Normal"/>
        <w:ind w:right="0" w:firstLine="540"/>
        <w:jc w:val="both"/>
        <w:rPr>
          <w:sz w:val="28"/>
          <w:szCs w:val="28"/>
        </w:rPr>
      </w:pPr>
      <w:r>
        <w:rPr>
          <w:sz w:val="28"/>
          <w:szCs w:val="28"/>
        </w:rPr>
        <w:t>Основными задачами в вопросах осуществления муниципального контроля на территории Поселения являются:</w:t>
      </w:r>
    </w:p>
    <w:p>
      <w:pPr>
        <w:pStyle w:val="Normal"/>
        <w:ind w:right="0" w:firstLine="540"/>
        <w:jc w:val="both"/>
        <w:rPr>
          <w:b/>
          <w:b/>
          <w:bCs/>
          <w:sz w:val="28"/>
          <w:szCs w:val="28"/>
        </w:rPr>
      </w:pPr>
      <w:r>
        <w:rPr>
          <w:sz w:val="28"/>
          <w:szCs w:val="28"/>
        </w:rPr>
        <w:t xml:space="preserve">- осуществление комплекса мер, направленных на предупреждение, выявление и пресечение нарушений действующего законодательства; </w:t>
      </w:r>
    </w:p>
    <w:p>
      <w:pPr>
        <w:pStyle w:val="Normal"/>
        <w:ind w:right="0" w:firstLine="540"/>
        <w:jc w:val="both"/>
        <w:rPr>
          <w:sz w:val="28"/>
          <w:szCs w:val="28"/>
        </w:rPr>
      </w:pPr>
      <w:r>
        <w:rPr>
          <w:sz w:val="28"/>
          <w:szCs w:val="28"/>
        </w:rPr>
        <w:t>- выполнение в полном объеме плановых проверок по соблюдению законодательства;</w:t>
      </w:r>
    </w:p>
    <w:p>
      <w:pPr>
        <w:pStyle w:val="Normal"/>
        <w:numPr>
          <w:ilvl w:val="0"/>
          <w:numId w:val="0"/>
        </w:numPr>
        <w:shd w:val="clear" w:color="auto" w:fill="FFFFFF"/>
        <w:tabs>
          <w:tab w:val="left" w:pos="5245" w:leader="none"/>
        </w:tabs>
        <w:spacing w:lineRule="exact" w:line="312"/>
        <w:ind w:right="0" w:hanging="0"/>
        <w:jc w:val="both"/>
        <w:outlineLvl w:val="0"/>
        <w:rPr>
          <w:sz w:val="28"/>
          <w:szCs w:val="28"/>
        </w:rPr>
      </w:pPr>
      <w:r>
        <w:rPr>
          <w:sz w:val="28"/>
          <w:szCs w:val="28"/>
        </w:rPr>
        <w:t xml:space="preserve">        </w:t>
      </w:r>
      <w:r>
        <w:rPr>
          <w:sz w:val="28"/>
          <w:szCs w:val="28"/>
        </w:rPr>
        <w:t xml:space="preserve">- активное взаимодействие с органами прокуратуры, администрацией муниципального образования Курганинский район,  </w:t>
      </w:r>
      <w:r>
        <w:rPr>
          <w:spacing w:val="0"/>
          <w:sz w:val="28"/>
          <w:szCs w:val="28"/>
        </w:rPr>
        <w:t xml:space="preserve">межмуниципальным отделом по Лабинскому  и  Курганинскому районам </w:t>
      </w:r>
      <w:r>
        <w:rPr>
          <w:sz w:val="28"/>
          <w:szCs w:val="28"/>
        </w:rPr>
        <w:t>Управления Федеральной службы государственной регистрации, кадастра и картографии по Краснодарскому краю.</w:t>
      </w:r>
    </w:p>
    <w:p>
      <w:pPr>
        <w:pStyle w:val="Normal"/>
        <w:ind w:right="0" w:firstLine="540"/>
        <w:jc w:val="both"/>
        <w:rPr>
          <w:sz w:val="28"/>
          <w:szCs w:val="28"/>
        </w:rPr>
      </w:pPr>
      <w:r>
        <w:rPr>
          <w:sz w:val="28"/>
          <w:szCs w:val="28"/>
        </w:rPr>
        <w:t xml:space="preserve">  </w:t>
      </w:r>
    </w:p>
    <w:p>
      <w:pPr>
        <w:pStyle w:val="Normal"/>
        <w:ind w:right="0" w:firstLine="540"/>
        <w:jc w:val="both"/>
        <w:rPr>
          <w:sz w:val="28"/>
          <w:szCs w:val="28"/>
        </w:rPr>
      </w:pPr>
      <w:r>
        <w:rPr/>
      </w:r>
    </w:p>
    <w:sectPr>
      <w:type w:val="nextPage"/>
      <w:pgSz w:w="11906" w:h="16838"/>
      <w:pgMar w:left="1701" w:right="851" w:header="0" w:top="1134" w:footer="0" w:bottom="851"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9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0162a"/>
    <w:pPr>
      <w:widowControl/>
      <w:bidi w:val="0"/>
      <w:spacing w:lineRule="auto" w:line="240" w:before="0" w:after="0"/>
      <w:jc w:val="left"/>
    </w:pPr>
    <w:rPr>
      <w:rFonts w:ascii="Times New Roman" w:hAnsi="Times New Roman" w:eastAsia="Times New Roman" w:cs="Times New Roman"/>
      <w:color w:val="00000A"/>
      <w:sz w:val="24"/>
      <w:szCs w:val="24"/>
      <w:lang w:val="ru-RU" w:eastAsia="ru-RU" w:bidi="ar-SA"/>
    </w:rPr>
  </w:style>
  <w:style w:type="paragraph" w:styleId="1">
    <w:name w:val="Заголовок 1"/>
    <w:basedOn w:val="Style12"/>
    <w:pPr/>
    <w:rPr/>
  </w:style>
  <w:style w:type="paragraph" w:styleId="2">
    <w:name w:val="Заголовок 2"/>
    <w:basedOn w:val="Style12"/>
    <w:pPr/>
    <w:rPr/>
  </w:style>
  <w:style w:type="paragraph" w:styleId="3">
    <w:name w:val="Заголовок 3"/>
    <w:basedOn w:val="Normal"/>
    <w:link w:val="30"/>
    <w:uiPriority w:val="99"/>
    <w:unhideWhenUsed/>
    <w:qFormat/>
    <w:rsid w:val="0020162a"/>
    <w:pPr>
      <w:spacing w:beforeAutospacing="1" w:afterAutospacing="1"/>
      <w:outlineLvl w:val="2"/>
    </w:pPr>
    <w:rPr>
      <w:b/>
      <w:bCs/>
      <w:sz w:val="29"/>
      <w:szCs w:val="29"/>
    </w:rPr>
  </w:style>
  <w:style w:type="character" w:styleId="DefaultParagraphFont" w:default="1">
    <w:name w:val="Default Paragraph Font"/>
    <w:uiPriority w:val="1"/>
    <w:unhideWhenUsed/>
    <w:qFormat/>
    <w:rPr/>
  </w:style>
  <w:style w:type="character" w:styleId="31" w:customStyle="1">
    <w:name w:val="Заголовок 3 Знак"/>
    <w:basedOn w:val="DefaultParagraphFont"/>
    <w:link w:val="3"/>
    <w:uiPriority w:val="99"/>
    <w:qFormat/>
    <w:rsid w:val="0020162a"/>
    <w:rPr>
      <w:rFonts w:ascii="Times New Roman" w:hAnsi="Times New Roman" w:eastAsia="Times New Roman" w:cs="Times New Roman"/>
      <w:b/>
      <w:bCs/>
      <w:sz w:val="29"/>
      <w:szCs w:val="29"/>
      <w:lang w:eastAsia="ru-RU"/>
    </w:rPr>
  </w:style>
  <w:style w:type="character" w:styleId="Style11">
    <w:name w:val="Интернет-ссылка"/>
    <w:basedOn w:val="DefaultParagraphFont"/>
    <w:uiPriority w:val="99"/>
    <w:semiHidden/>
    <w:unhideWhenUsed/>
    <w:rsid w:val="007d50c2"/>
    <w:rPr>
      <w:color w:val="0000FF"/>
      <w:u w:val="single"/>
    </w:rPr>
  </w:style>
  <w:style w:type="character" w:styleId="WWAbsatzStandardschriftart11111111111" w:customStyle="1">
    <w:name w:val="WW-Absatz-Standardschriftart11111111111"/>
    <w:qFormat/>
    <w:rsid w:val="005a7c35"/>
    <w:rPr/>
  </w:style>
  <w:style w:type="paragraph" w:styleId="Style12">
    <w:name w:val="Заголовок"/>
    <w:basedOn w:val="Normal"/>
    <w:next w:val="Style13"/>
    <w:qFormat/>
    <w:pPr>
      <w:keepNext/>
      <w:spacing w:before="240" w:after="120"/>
    </w:pPr>
    <w:rPr>
      <w:rFonts w:ascii="Liberation Sans" w:hAnsi="Liberation Sans" w:eastAsia="Microsoft YaHei" w:cs="Lucida Sans"/>
      <w:sz w:val="28"/>
      <w:szCs w:val="28"/>
    </w:rPr>
  </w:style>
  <w:style w:type="paragraph" w:styleId="Style13">
    <w:name w:val="Основной текст"/>
    <w:basedOn w:val="Normal"/>
    <w:pPr>
      <w:spacing w:lineRule="auto" w:line="288" w:before="0" w:after="140"/>
    </w:pPr>
    <w:rPr/>
  </w:style>
  <w:style w:type="paragraph" w:styleId="Style14">
    <w:name w:val="Список"/>
    <w:basedOn w:val="Style13"/>
    <w:pPr/>
    <w:rPr>
      <w:rFonts w:cs="Lucida Sans"/>
    </w:rPr>
  </w:style>
  <w:style w:type="paragraph" w:styleId="Style15">
    <w:name w:val="Название"/>
    <w:basedOn w:val="Normal"/>
    <w:pPr>
      <w:suppressLineNumbers/>
      <w:spacing w:before="120" w:after="120"/>
    </w:pPr>
    <w:rPr>
      <w:rFonts w:cs="Lucida Sans"/>
      <w:i/>
      <w:iCs/>
      <w:sz w:val="24"/>
      <w:szCs w:val="24"/>
    </w:rPr>
  </w:style>
  <w:style w:type="paragraph" w:styleId="Style16">
    <w:name w:val="Указатель"/>
    <w:basedOn w:val="Normal"/>
    <w:qFormat/>
    <w:pPr>
      <w:suppressLineNumbers/>
    </w:pPr>
    <w:rPr>
      <w:rFonts w:cs="Lucida Sans"/>
    </w:rPr>
  </w:style>
  <w:style w:type="paragraph" w:styleId="NormalWeb">
    <w:name w:val="Normal (Web)"/>
    <w:basedOn w:val="Normal"/>
    <w:uiPriority w:val="99"/>
    <w:unhideWhenUsed/>
    <w:qFormat/>
    <w:rsid w:val="0020162a"/>
    <w:pPr>
      <w:spacing w:beforeAutospacing="1" w:afterAutospacing="1"/>
    </w:pPr>
    <w:rPr/>
  </w:style>
  <w:style w:type="paragraph" w:styleId="NoSpacing">
    <w:name w:val="No Spacing"/>
    <w:uiPriority w:val="99"/>
    <w:qFormat/>
    <w:rsid w:val="0020162a"/>
    <w:pPr>
      <w:widowControl/>
      <w:bidi w:val="0"/>
      <w:spacing w:lineRule="auto" w:line="240" w:before="0" w:after="0"/>
      <w:jc w:val="left"/>
    </w:pPr>
    <w:rPr>
      <w:rFonts w:ascii="Times New Roman" w:hAnsi="Times New Roman" w:eastAsia="Times New Roman" w:cs="Times New Roman"/>
      <w:color w:val="00000A"/>
      <w:sz w:val="24"/>
      <w:szCs w:val="24"/>
      <w:lang w:val="ru-RU" w:eastAsia="ru-RU" w:bidi="ar-SA"/>
    </w:rPr>
  </w:style>
  <w:style w:type="paragraph" w:styleId="11" w:customStyle="1">
    <w:name w:val="Без интервала1"/>
    <w:uiPriority w:val="99"/>
    <w:qFormat/>
    <w:rsid w:val="0020162a"/>
    <w:pPr>
      <w:widowControl/>
      <w:bidi w:val="0"/>
      <w:spacing w:lineRule="auto" w:line="240" w:before="0" w:after="0"/>
      <w:jc w:val="left"/>
    </w:pPr>
    <w:rPr>
      <w:rFonts w:ascii="Times New Roman" w:hAnsi="Times New Roman" w:eastAsia="Calibri" w:cs="Times New Roman" w:eastAsiaTheme="minorHAnsi"/>
      <w:color w:val="00000A"/>
      <w:sz w:val="24"/>
      <w:szCs w:val="24"/>
      <w:lang w:val="ru-RU" w:eastAsia="ru-RU" w:bidi="ar-SA"/>
    </w:rPr>
  </w:style>
  <w:style w:type="paragraph" w:styleId="Style17">
    <w:name w:val="Блочная цитата"/>
    <w:basedOn w:val="Normal"/>
    <w:qFormat/>
    <w:pPr/>
    <w:rPr/>
  </w:style>
  <w:style w:type="paragraph" w:styleId="Style18">
    <w:name w:val="Заглавие"/>
    <w:basedOn w:val="Style12"/>
    <w:pPr/>
    <w:rPr/>
  </w:style>
  <w:style w:type="paragraph" w:styleId="Style19">
    <w:name w:val="Подзаголовок"/>
    <w:basedOn w:val="Style12"/>
    <w:pPr/>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4E968-B467-4E11-8021-C7CBE990F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Application>LibreOffice/5.0.0.5$Windows_x86 LibreOffice_project/1b1a90865e348b492231e1c451437d7a15bb262b</Application>
  <Paragraphs>196</Paragraphs>
  <Company>adcity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2019-01-17T12:00:00Z</dcterms:created>
  <dc:creator>Zemel</dc:creator>
  <dc:language>ru-RU</dc:language>
  <cp:lastPrinted>2018-01-25T13:27:00Z</cp:lastPrinted>
  <dcterms:modified xsi:type="dcterms:W3CDTF">2019-01-25T09:32:40Z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adcity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